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hint="eastAsia" w:ascii="黑体" w:hAnsi="宋体" w:eastAsia="黑体" w:cs="宋体"/>
                <w:kern w:val="0"/>
                <w:sz w:val="22"/>
              </w:rPr>
            </w:pPr>
          </w:p>
        </w:tc>
        <w:tc>
          <w:tcPr>
            <w:tcW w:w="2340" w:type="dxa"/>
            <w:vMerge w:val="continue"/>
            <w:vAlign w:val="center"/>
          </w:tcPr>
          <w:p>
            <w:pPr>
              <w:widowControl/>
              <w:jc w:val="left"/>
              <w:rPr>
                <w:rFonts w:hint="eastAsia" w:ascii="黑体" w:hAnsi="宋体" w:eastAsia="黑体" w:cs="宋体"/>
                <w:kern w:val="0"/>
                <w:sz w:val="22"/>
              </w:rPr>
            </w:pPr>
          </w:p>
        </w:tc>
        <w:tc>
          <w:tcPr>
            <w:tcW w:w="1620" w:type="dxa"/>
            <w:vMerge w:val="continue"/>
            <w:vAlign w:val="center"/>
          </w:tcPr>
          <w:p>
            <w:pPr>
              <w:widowControl/>
              <w:jc w:val="left"/>
              <w:rPr>
                <w:rFonts w:hint="eastAsia"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pPr>
              <w:jc w:val="center"/>
              <w:rPr>
                <w:rFonts w:hint="eastAsia" w:ascii="仿宋_GB2312" w:hAnsi="宋体" w:eastAsia="仿宋_GB2312"/>
                <w:sz w:val="18"/>
                <w:szCs w:val="18"/>
              </w:rPr>
            </w:pP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hint="eastAsia" w:ascii="仿宋_GB2312" w:eastAsia="仿宋_GB2312"/>
                <w:sz w:val="18"/>
                <w:szCs w:val="18"/>
              </w:rPr>
            </w:pP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pPr>
              <w:rPr>
                <w:rFonts w:ascii="Wingdings 2" w:hAnsi="Wingdings 2" w:cs="宋体"/>
                <w:sz w:val="18"/>
                <w:szCs w:val="18"/>
              </w:rPr>
            </w:pPr>
          </w:p>
        </w:tc>
        <w:tc>
          <w:tcPr>
            <w:tcW w:w="720"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jc w:val="center"/>
              <w:rPr>
                <w:rFonts w:ascii="宋体" w:hAnsi="宋体" w:cs="宋体"/>
                <w:sz w:val="18"/>
                <w:szCs w:val="18"/>
              </w:rPr>
            </w:pPr>
            <w:r>
              <w:rPr>
                <w:rFonts w:hint="eastAsia"/>
                <w:sz w:val="18"/>
                <w:szCs w:val="18"/>
              </w:rPr>
              <w:t>　</w:t>
            </w:r>
          </w:p>
        </w:tc>
        <w:tc>
          <w:tcPr>
            <w:tcW w:w="788"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bookmarkStart w:id="1" w:name="_GoBack"/>
            <w:bookmarkEnd w:id="1"/>
            <w:r>
              <w:rPr>
                <w:rFonts w:hint="eastAsia" w:ascii="仿宋_GB2312" w:eastAsia="仿宋_GB2312"/>
                <w:sz w:val="18"/>
                <w:szCs w:val="18"/>
                <w:lang w:eastAsia="zh-CN"/>
              </w:rPr>
              <w:t>《中华人民共和国招标投标法》</w:t>
            </w:r>
            <w:r>
              <w:rPr>
                <w:rFonts w:hint="eastAsia" w:ascii="仿宋_GB2312" w:eastAsia="仿宋_GB2312"/>
                <w:sz w:val="18"/>
                <w:szCs w:val="18"/>
              </w:rPr>
              <w:t>、</w:t>
            </w:r>
            <w:r>
              <w:rPr>
                <w:rFonts w:hint="eastAsia" w:ascii="仿宋_GB2312" w:eastAsia="仿宋_GB2312"/>
                <w:sz w:val="18"/>
                <w:szCs w:val="18"/>
                <w:lang w:eastAsia="zh-CN"/>
              </w:rPr>
              <w:t>《中华人民共和国招标投标法实施条例》</w:t>
            </w:r>
            <w:r>
              <w:rPr>
                <w:rFonts w:hint="eastAsia" w:ascii="仿宋_GB2312" w:eastAsia="仿宋_GB2312"/>
                <w:sz w:val="18"/>
                <w:szCs w:val="18"/>
              </w:rPr>
              <w:t>、《电子招标投标办法》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《中华人民共和国行政处罚法》</w:t>
            </w: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36</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40</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N2U1ZmRjNDBlN2ExNjRjZWY2M2JhOTQ5YWIyMDkifQ=="/>
  </w:docVars>
  <w:rsids>
    <w:rsidRoot w:val="00416393"/>
    <w:rsid w:val="001E6D63"/>
    <w:rsid w:val="002967AA"/>
    <w:rsid w:val="00416393"/>
    <w:rsid w:val="030A3F0E"/>
    <w:rsid w:val="0D7E32E9"/>
    <w:rsid w:val="2A1B1D22"/>
    <w:rsid w:val="6D750AF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autoRedefine/>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autoRedefine/>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1464</Words>
  <Characters>8350</Characters>
  <Lines>69</Lines>
  <Paragraphs>19</Paragraphs>
  <TotalTime>2</TotalTime>
  <ScaleCrop>false</ScaleCrop>
  <LinksUpToDate>false</LinksUpToDate>
  <CharactersWithSpaces>9795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2020-03-06T04:04:00Z</dcterms:created>
  <dc:creator>tai yuzhu</dc:creator>
  <cp:lastModifiedBy>WPS_1591252644</cp:lastModifiedBy>
  <dcterms:modified xsi:type="dcterms:W3CDTF">2024-03-18T01:28:49Z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B83F5FBD240847809BD37EAF671D35CF_12</vt:lpwstr>
  </property>
</Properties>
</file>